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10CC0" w14:textId="385747FB" w:rsidR="00801ED9" w:rsidRPr="00CA6965" w:rsidRDefault="00801ED9" w:rsidP="00801ED9">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123b</w:t>
      </w:r>
      <w:r w:rsidRPr="00CA6965">
        <w:rPr>
          <w:rFonts w:ascii="Arial" w:eastAsia="MS Mincho" w:hAnsi="Arial" w:cs="Arial"/>
          <w:b/>
          <w:sz w:val="24"/>
          <w:szCs w:val="24"/>
          <w:lang w:val="de-DE" w:eastAsia="x-none"/>
        </w:rPr>
        <w:tab/>
      </w:r>
      <w:r w:rsidR="00C011CE" w:rsidRPr="00C011CE">
        <w:rPr>
          <w:rFonts w:ascii="Arial" w:eastAsia="MS Mincho" w:hAnsi="Arial" w:cs="Arial"/>
          <w:b/>
          <w:sz w:val="24"/>
          <w:szCs w:val="24"/>
          <w:lang w:val="de-DE" w:eastAsia="x-none"/>
        </w:rPr>
        <w:t>R2-2309992</w:t>
      </w:r>
    </w:p>
    <w:p w14:paraId="3A02D946" w14:textId="77777777" w:rsidR="00801ED9" w:rsidRPr="00CA6965" w:rsidRDefault="00801ED9" w:rsidP="00801ED9">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Xiamen</w:t>
      </w:r>
      <w:r w:rsidRPr="009F2654">
        <w:rPr>
          <w:rFonts w:ascii="Arial" w:eastAsia="Tahoma" w:hAnsi="Arial" w:cs="Arial"/>
          <w:b/>
          <w:bCs/>
          <w:kern w:val="0"/>
          <w:sz w:val="24"/>
          <w:szCs w:val="24"/>
        </w:rPr>
        <w:t xml:space="preserve">, </w:t>
      </w:r>
      <w:r>
        <w:rPr>
          <w:rFonts w:ascii="Arial" w:eastAsia="Tahoma" w:hAnsi="Arial" w:cs="Arial"/>
          <w:b/>
          <w:bCs/>
          <w:kern w:val="0"/>
          <w:sz w:val="24"/>
          <w:szCs w:val="24"/>
        </w:rPr>
        <w:t>China</w:t>
      </w:r>
      <w:r w:rsidRPr="009F2654">
        <w:rPr>
          <w:rFonts w:ascii="Arial" w:eastAsia="Tahoma" w:hAnsi="Arial" w:cs="Arial"/>
          <w:b/>
          <w:bCs/>
          <w:kern w:val="0"/>
          <w:sz w:val="24"/>
          <w:szCs w:val="24"/>
        </w:rPr>
        <w:t xml:space="preserve">, </w:t>
      </w:r>
      <w:r>
        <w:rPr>
          <w:rFonts w:ascii="Arial" w:eastAsia="Tahoma" w:hAnsi="Arial" w:cs="Arial"/>
          <w:b/>
          <w:bCs/>
          <w:kern w:val="0"/>
          <w:sz w:val="24"/>
          <w:szCs w:val="24"/>
        </w:rPr>
        <w:t>9</w:t>
      </w:r>
      <w:r w:rsidRPr="00B90995">
        <w:rPr>
          <w:rFonts w:ascii="Arial" w:eastAsia="Tahoma" w:hAnsi="Arial" w:cs="Arial"/>
          <w:b/>
          <w:bCs/>
          <w:kern w:val="0"/>
          <w:sz w:val="24"/>
          <w:szCs w:val="24"/>
          <w:vertAlign w:val="superscript"/>
        </w:rPr>
        <w:t>th</w:t>
      </w:r>
      <w:r>
        <w:rPr>
          <w:rFonts w:ascii="Arial" w:eastAsia="Tahoma" w:hAnsi="Arial" w:cs="Arial"/>
          <w:b/>
          <w:bCs/>
          <w:kern w:val="0"/>
          <w:sz w:val="24"/>
          <w:szCs w:val="24"/>
        </w:rPr>
        <w:t xml:space="preserve"> Oct</w:t>
      </w:r>
      <w:r w:rsidRPr="00CA6965">
        <w:rPr>
          <w:rFonts w:ascii="Arial" w:eastAsia="Tahoma" w:hAnsi="Arial" w:cs="Arial"/>
          <w:b/>
          <w:bCs/>
          <w:kern w:val="0"/>
          <w:sz w:val="24"/>
          <w:szCs w:val="24"/>
        </w:rPr>
        <w:t xml:space="preserve"> – </w:t>
      </w:r>
      <w:r>
        <w:rPr>
          <w:rFonts w:ascii="Arial" w:eastAsia="Tahoma" w:hAnsi="Arial" w:cs="Arial"/>
          <w:b/>
          <w:bCs/>
          <w:kern w:val="0"/>
          <w:sz w:val="24"/>
          <w:szCs w:val="24"/>
        </w:rPr>
        <w:t>13</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Oct</w:t>
      </w:r>
      <w:r w:rsidRPr="00CA6965">
        <w:rPr>
          <w:rFonts w:ascii="Arial" w:eastAsia="Tahoma" w:hAnsi="Arial" w:cs="Arial"/>
          <w:b/>
          <w:bCs/>
          <w:kern w:val="0"/>
          <w:sz w:val="24"/>
          <w:szCs w:val="24"/>
        </w:rPr>
        <w:t>, 2023</w:t>
      </w:r>
    </w:p>
    <w:p w14:paraId="1A561CC3" w14:textId="77777777" w:rsidR="00801ED9" w:rsidRDefault="00801ED9" w:rsidP="00801ED9">
      <w:pPr>
        <w:widowControl/>
        <w:tabs>
          <w:tab w:val="left" w:pos="1979"/>
        </w:tabs>
        <w:spacing w:after="180"/>
        <w:jc w:val="left"/>
        <w:rPr>
          <w:rFonts w:ascii="Arial" w:eastAsia="宋体" w:hAnsi="Arial" w:cs="Times New Roman"/>
          <w:b/>
          <w:kern w:val="0"/>
          <w:sz w:val="22"/>
          <w:szCs w:val="22"/>
        </w:rPr>
      </w:pPr>
    </w:p>
    <w:p w14:paraId="749A1F81" w14:textId="3EDFAB6B" w:rsidR="00801ED9" w:rsidRPr="00CA6965" w:rsidRDefault="00801ED9" w:rsidP="00801ED9">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7.3.2</w:t>
      </w:r>
      <w:bookmarkEnd w:id="5"/>
    </w:p>
    <w:p w14:paraId="57B7A0AE" w14:textId="77777777" w:rsidR="00801ED9" w:rsidRPr="00F06FA4" w:rsidRDefault="00801ED9" w:rsidP="00801ED9">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76D3065" w14:textId="72E66DBA" w:rsidR="00801ED9" w:rsidRDefault="00801ED9" w:rsidP="00801ED9">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1E2D64">
        <w:rPr>
          <w:rFonts w:ascii="Arial" w:eastAsia="宋体" w:hAnsi="Arial" w:cs="Times New Roman"/>
          <w:b/>
          <w:kern w:val="0"/>
          <w:sz w:val="22"/>
          <w:szCs w:val="22"/>
        </w:rPr>
        <w:t xml:space="preserve">Remaining issues on </w:t>
      </w:r>
      <w:r>
        <w:rPr>
          <w:rFonts w:ascii="Arial" w:eastAsia="宋体" w:hAnsi="Arial" w:cs="Times New Roman" w:hint="eastAsia"/>
          <w:b/>
          <w:kern w:val="0"/>
          <w:sz w:val="22"/>
          <w:szCs w:val="22"/>
        </w:rPr>
        <w:t>cell</w:t>
      </w:r>
      <w:r>
        <w:rPr>
          <w:rFonts w:ascii="Arial" w:eastAsia="宋体" w:hAnsi="Arial" w:cs="Times New Roman"/>
          <w:b/>
          <w:kern w:val="0"/>
          <w:sz w:val="22"/>
          <w:szCs w:val="22"/>
        </w:rPr>
        <w:t xml:space="preserve"> DTX/DRX</w:t>
      </w:r>
    </w:p>
    <w:p w14:paraId="1395D064" w14:textId="77777777" w:rsidR="00801ED9" w:rsidRPr="00541641" w:rsidRDefault="00801ED9" w:rsidP="00801ED9">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22707A55"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9F1EBA">
        <w:rPr>
          <w:rFonts w:eastAsia="宋体"/>
        </w:rPr>
        <w:t>discuss about the remaining issues on cell DTX/DRX</w:t>
      </w:r>
      <w:r>
        <w:t>.</w:t>
      </w:r>
      <w:bookmarkEnd w:id="7"/>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0C5BEE24" w:rsidR="00541641" w:rsidRDefault="009F1EBA" w:rsidP="00541641">
      <w:pPr>
        <w:pStyle w:val="2"/>
      </w:pPr>
      <w:r>
        <w:t>Configuration</w:t>
      </w:r>
    </w:p>
    <w:p w14:paraId="69DF218C" w14:textId="11610AF2" w:rsidR="00A2414B" w:rsidRDefault="00EB6062" w:rsidP="009F1EBA">
      <w:pPr>
        <w:pStyle w:val="3"/>
      </w:pPr>
      <w:r>
        <w:t>Cell DTX inactivityTimer</w:t>
      </w:r>
    </w:p>
    <w:p w14:paraId="25AD8A77" w14:textId="5EB1C8FC" w:rsidR="00EB6062" w:rsidRDefault="00EB6062" w:rsidP="00121301">
      <w:pPr>
        <w:spacing w:after="120"/>
      </w:pPr>
      <w:r>
        <w:t xml:space="preserve">The original motivation for introducing C-DRX </w:t>
      </w:r>
      <w:r w:rsidRPr="002C3D21">
        <w:t>inactivityTimer</w:t>
      </w:r>
      <w:r>
        <w:t xml:space="preserve"> is to enable the gNB scheduling </w:t>
      </w:r>
      <w:r w:rsidR="00D52C0D">
        <w:t>a serial of packages</w:t>
      </w:r>
      <w:r>
        <w:t xml:space="preserve"> if needed. Similarly, we think it is reasonable to keep the mechanism in cell DTX. One may be concerned that different UEs may extend the cell DTX active time too much and impact the NES gain. From our perspective, the key point of this issue is how we pursue balance between scheduling flexibility and NES gain. Similar to the discussion of PDCCH for retransmission, </w:t>
      </w:r>
      <w:r w:rsidR="00D52C0D">
        <w:t xml:space="preserve">the </w:t>
      </w:r>
      <w:r>
        <w:t>gNB has the freedom whether to schedule at the end of cell DTX on-duration.</w:t>
      </w:r>
      <w:r w:rsidR="00D52C0D">
        <w:t xml:space="preserve"> The extension of Cell DTX active time does not necessarily means the increase of power consumption. Rather, it provides the flexibility for the NW to decide on whether to perform timely schedule.</w:t>
      </w:r>
    </w:p>
    <w:p w14:paraId="383D34E7" w14:textId="0943922E" w:rsidR="00EB6062" w:rsidRPr="00EB6062" w:rsidRDefault="00EB6062" w:rsidP="00121301">
      <w:pPr>
        <w:spacing w:after="120"/>
        <w:rPr>
          <w:b/>
        </w:rPr>
      </w:pPr>
      <w:r w:rsidRPr="00EB6062">
        <w:rPr>
          <w:b/>
        </w:rPr>
        <w:t>Proposal 1: The cell DTX configuration includes cell DTX inactivityTimer, which is also a cell common parameter.</w:t>
      </w:r>
    </w:p>
    <w:p w14:paraId="237E3DD1" w14:textId="0F503365" w:rsidR="009F1EBA" w:rsidRDefault="00D52C0D" w:rsidP="00121301">
      <w:pPr>
        <w:spacing w:after="120"/>
      </w:pPr>
      <w:r>
        <w:t>C</w:t>
      </w:r>
      <w:r w:rsidR="00EB6062">
        <w:t xml:space="preserve">ompanies </w:t>
      </w:r>
      <w:r>
        <w:t>may be</w:t>
      </w:r>
      <w:r w:rsidR="00EB6062">
        <w:t xml:space="preserve"> concerned</w:t>
      </w:r>
      <w:r>
        <w:t xml:space="preserve"> about</w:t>
      </w:r>
      <w:r w:rsidR="00EB6062">
        <w:t xml:space="preserve"> </w:t>
      </w:r>
      <w:r>
        <w:t>whether the status of</w:t>
      </w:r>
      <w:r w:rsidR="00EB6062" w:rsidRPr="00220B2D">
        <w:t xml:space="preserve"> </w:t>
      </w:r>
      <w:r w:rsidR="00EB6062">
        <w:t xml:space="preserve">cell DTX inactivityTimer </w:t>
      </w:r>
      <w:r>
        <w:t>should be informed to all UEs, as it is a cell common parameter</w:t>
      </w:r>
      <w:r w:rsidR="00EB6062">
        <w:t xml:space="preserve">. </w:t>
      </w:r>
      <w:r>
        <w:t xml:space="preserve">However, </w:t>
      </w:r>
      <w:r w:rsidR="00EB6062">
        <w:t xml:space="preserve">the use of cell DTX inactivityTimer is </w:t>
      </w:r>
      <w:r>
        <w:t xml:space="preserve">a </w:t>
      </w:r>
      <w:r w:rsidR="00EB6062">
        <w:t>per UE behavior</w:t>
      </w:r>
      <w:r>
        <w:t>, and</w:t>
      </w:r>
      <w:r w:rsidR="00EB6062">
        <w:t xml:space="preserve"> </w:t>
      </w:r>
      <w:r>
        <w:t>i</w:t>
      </w:r>
      <w:r w:rsidR="00EB6062">
        <w:t xml:space="preserve">t is not necessary for </w:t>
      </w:r>
      <w:r>
        <w:t xml:space="preserve">other </w:t>
      </w:r>
      <w:r w:rsidR="00EB6062">
        <w:t xml:space="preserve">UEs </w:t>
      </w:r>
      <w:r>
        <w:t xml:space="preserve">which are not scheduled </w:t>
      </w:r>
      <w:r w:rsidR="00EB6062">
        <w:t>to know whether cell DTX active time is extend</w:t>
      </w:r>
      <w:r>
        <w:t>ed</w:t>
      </w:r>
      <w:r w:rsidR="00EB6062">
        <w:t xml:space="preserve"> by cell DTX inactivityTimer of another UE.</w:t>
      </w:r>
    </w:p>
    <w:p w14:paraId="12D07153" w14:textId="19E00E2D" w:rsidR="00D52C0D" w:rsidRPr="00D52C0D" w:rsidRDefault="00D52C0D" w:rsidP="00121301">
      <w:pPr>
        <w:spacing w:after="120"/>
        <w:rPr>
          <w:b/>
        </w:rPr>
      </w:pPr>
      <w:r w:rsidRPr="00D52C0D">
        <w:rPr>
          <w:b/>
        </w:rPr>
        <w:t>Proposal 2: Cell DTX inactivit</w:t>
      </w:r>
      <w:r w:rsidR="00723C0F">
        <w:rPr>
          <w:b/>
        </w:rPr>
        <w:t>y</w:t>
      </w:r>
      <w:r w:rsidRPr="00D52C0D">
        <w:rPr>
          <w:b/>
        </w:rPr>
        <w:t>Timer is maintained per UE, and the NW does not need to inform the status of Cell DTX inactivit</w:t>
      </w:r>
      <w:r w:rsidR="0020459A">
        <w:rPr>
          <w:b/>
        </w:rPr>
        <w:t>y</w:t>
      </w:r>
      <w:r w:rsidRPr="00D52C0D">
        <w:rPr>
          <w:b/>
        </w:rPr>
        <w:t>Timer to the UEs which are not scheduled.</w:t>
      </w:r>
    </w:p>
    <w:p w14:paraId="17D96D44" w14:textId="209C9F3B" w:rsidR="009F1EBA" w:rsidRDefault="00C011CE" w:rsidP="009F1EBA">
      <w:pPr>
        <w:pStyle w:val="3"/>
      </w:pPr>
      <w:r>
        <w:rPr>
          <w:rFonts w:hint="eastAsia"/>
        </w:rPr>
        <w:t>S</w:t>
      </w:r>
      <w:r w:rsidR="00EB6062" w:rsidRPr="00EB6062">
        <w:t>tart offset of cell DTX and cell DRX</w:t>
      </w:r>
    </w:p>
    <w:p w14:paraId="785B7CE1" w14:textId="03950FC0" w:rsidR="00EB6062" w:rsidRDefault="00723C0F" w:rsidP="00B01764">
      <w:pPr>
        <w:spacing w:after="120"/>
      </w:pPr>
      <w:r>
        <w:t xml:space="preserve">During </w:t>
      </w:r>
      <w:proofErr w:type="spellStart"/>
      <w:r>
        <w:t>R2#123</w:t>
      </w:r>
      <w:proofErr w:type="spellEnd"/>
      <w:r>
        <w:t>, the following agreement is achieved [1]</w:t>
      </w:r>
      <w:r w:rsidR="00B01764">
        <w:t>, with an FFS point left</w:t>
      </w:r>
      <w:r>
        <w:t>:</w:t>
      </w:r>
    </w:p>
    <w:tbl>
      <w:tblPr>
        <w:tblStyle w:val="a7"/>
        <w:tblW w:w="0" w:type="auto"/>
        <w:tblLook w:val="04A0" w:firstRow="1" w:lastRow="0" w:firstColumn="1" w:lastColumn="0" w:noHBand="0" w:noVBand="1"/>
      </w:tblPr>
      <w:tblGrid>
        <w:gridCol w:w="9628"/>
      </w:tblGrid>
      <w:tr w:rsidR="00723C0F" w14:paraId="10845A7A" w14:textId="77777777" w:rsidTr="00723C0F">
        <w:tc>
          <w:tcPr>
            <w:tcW w:w="9628" w:type="dxa"/>
          </w:tcPr>
          <w:p w14:paraId="2BED04C4" w14:textId="77777777" w:rsidR="00723C0F" w:rsidRPr="00723C0F" w:rsidRDefault="00723C0F" w:rsidP="00EB6062">
            <w:pPr>
              <w:rPr>
                <w:b/>
              </w:rPr>
            </w:pPr>
            <w:r w:rsidRPr="00723C0F">
              <w:rPr>
                <w:b/>
              </w:rPr>
              <w:t>Agreement</w:t>
            </w:r>
          </w:p>
          <w:p w14:paraId="42ECC668" w14:textId="3046AEEE" w:rsidR="00723C0F" w:rsidRDefault="00723C0F" w:rsidP="00EB6062">
            <w:r>
              <w:t>8</w:t>
            </w:r>
            <w:r>
              <w:tab/>
            </w:r>
            <w:r w:rsidRPr="00FB6F55">
              <w:t>On-duration and Cycle parameters are common between cell DTX and DRX</w:t>
            </w:r>
            <w:r>
              <w:t xml:space="preserve">, when both are configured.  </w:t>
            </w:r>
            <w:r w:rsidRPr="00723C0F">
              <w:rPr>
                <w:highlight w:val="yellow"/>
              </w:rPr>
              <w:t>FFS if we have different start offset configuration for cell DTX and cell DRX</w:t>
            </w:r>
          </w:p>
        </w:tc>
      </w:tr>
    </w:tbl>
    <w:p w14:paraId="7D8724BB" w14:textId="6F2790F0" w:rsidR="00883286" w:rsidRDefault="00723C0F" w:rsidP="00B01764">
      <w:pPr>
        <w:spacing w:before="120" w:after="120"/>
      </w:pPr>
      <w:r>
        <w:t xml:space="preserve">The concern raised by proponent companies about having common start offset between cell DTX and cell DRX is that </w:t>
      </w:r>
      <w:r w:rsidR="0020459A">
        <w:lastRenderedPageBreak/>
        <w:t>relevant</w:t>
      </w:r>
      <w:r>
        <w:t xml:space="preserve"> UL/DL transmission</w:t>
      </w:r>
      <w:r w:rsidR="00883286">
        <w:t xml:space="preserve"> occasions</w:t>
      </w:r>
      <w:r>
        <w:t xml:space="preserve"> </w:t>
      </w:r>
      <w:r w:rsidR="00883286">
        <w:t>have slot-level offsets between each other, and a common start offset may result some unexpected loss of scheduling</w:t>
      </w:r>
      <w:r w:rsidR="00B01764">
        <w:t>/</w:t>
      </w:r>
      <w:r w:rsidR="00883286">
        <w:t>feedback. However, considering the previous RAN2 agreement</w:t>
      </w:r>
      <w:r w:rsidR="007C0AC5">
        <w:t xml:space="preserve"> [1][2]</w:t>
      </w:r>
      <w:r w:rsidR="00883286">
        <w:t>, we do not observe such a problem</w:t>
      </w:r>
      <w:r w:rsidR="002F72F9">
        <w:t xml:space="preserve">, </w:t>
      </w:r>
      <w:r w:rsidR="00B01764">
        <w:t>and thus propose the offset of cell DTX and cell DRX to be common</w:t>
      </w:r>
      <w:r w:rsidR="00883286">
        <w:t>.</w:t>
      </w:r>
      <w:r w:rsidR="007C0AC5">
        <w:t xml:space="preserve"> After all, corner cases if any that may result in potential problems at the start/end of the cell DTX/DRX on-duration can be avoided by NW implementation, e.g. by not scheduling at the end of the cell DTX/DRX on-duration.</w:t>
      </w:r>
    </w:p>
    <w:tbl>
      <w:tblPr>
        <w:tblStyle w:val="a7"/>
        <w:tblW w:w="0" w:type="auto"/>
        <w:tblLook w:val="04A0" w:firstRow="1" w:lastRow="0" w:firstColumn="1" w:lastColumn="0" w:noHBand="0" w:noVBand="1"/>
      </w:tblPr>
      <w:tblGrid>
        <w:gridCol w:w="9628"/>
      </w:tblGrid>
      <w:tr w:rsidR="00020EBF" w14:paraId="2BA6D5AE" w14:textId="77777777" w:rsidTr="00020EBF">
        <w:tc>
          <w:tcPr>
            <w:tcW w:w="9628" w:type="dxa"/>
          </w:tcPr>
          <w:p w14:paraId="2234F938" w14:textId="27586EFA" w:rsidR="00020EBF" w:rsidRPr="00D37B33" w:rsidRDefault="00020EBF" w:rsidP="00020EBF">
            <w:pPr>
              <w:rPr>
                <w:b/>
              </w:rPr>
            </w:pPr>
            <w:r w:rsidRPr="00D37B33">
              <w:rPr>
                <w:b/>
              </w:rPr>
              <w:t>Agreements</w:t>
            </w:r>
            <w:r w:rsidR="008E5052">
              <w:rPr>
                <w:b/>
              </w:rPr>
              <w:t xml:space="preserve"> @ </w:t>
            </w:r>
            <w:proofErr w:type="spellStart"/>
            <w:r w:rsidR="008E5052">
              <w:rPr>
                <w:b/>
              </w:rPr>
              <w:t>R2#122</w:t>
            </w:r>
            <w:proofErr w:type="spellEnd"/>
          </w:p>
          <w:p w14:paraId="0982860C" w14:textId="77777777" w:rsidR="00020EBF" w:rsidRDefault="00020EBF" w:rsidP="00EB6062">
            <w:r>
              <w:t>5</w:t>
            </w:r>
            <w:r>
              <w:tab/>
              <w:t>When an DG grant is received, by the gNB during cell DRX/DTX, the UE follows the grant assignment (i.e. like in legacy).  This includes DL HARQ feedback.</w:t>
            </w:r>
          </w:p>
          <w:p w14:paraId="63A0A441" w14:textId="77777777" w:rsidR="008E5052" w:rsidRDefault="008E5052" w:rsidP="00EB6062"/>
          <w:p w14:paraId="09F05955" w14:textId="5F7B0433" w:rsidR="002F72F9" w:rsidRPr="00D37B33" w:rsidRDefault="002F72F9" w:rsidP="002F72F9">
            <w:pPr>
              <w:rPr>
                <w:b/>
              </w:rPr>
            </w:pPr>
            <w:r w:rsidRPr="00D37B33">
              <w:rPr>
                <w:b/>
              </w:rPr>
              <w:t>Agreements</w:t>
            </w:r>
            <w:r>
              <w:rPr>
                <w:b/>
              </w:rPr>
              <w:t xml:space="preserve"> @ </w:t>
            </w:r>
            <w:proofErr w:type="spellStart"/>
            <w:r>
              <w:rPr>
                <w:b/>
              </w:rPr>
              <w:t>R2#123</w:t>
            </w:r>
            <w:proofErr w:type="spellEnd"/>
          </w:p>
          <w:p w14:paraId="302F8FA7" w14:textId="5B321E01" w:rsidR="002F72F9" w:rsidRDefault="002F72F9" w:rsidP="00EB6062">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76B41D51" w14:textId="583F9265" w:rsidR="00EB6062" w:rsidRPr="007C0AC5" w:rsidRDefault="007C0AC5" w:rsidP="007C0AC5">
      <w:pPr>
        <w:spacing w:before="120" w:after="120"/>
        <w:rPr>
          <w:b/>
        </w:rPr>
      </w:pPr>
      <w:r w:rsidRPr="00D52C0D">
        <w:rPr>
          <w:b/>
        </w:rPr>
        <w:t xml:space="preserve">Proposal </w:t>
      </w:r>
      <w:r>
        <w:rPr>
          <w:b/>
        </w:rPr>
        <w:t>3</w:t>
      </w:r>
      <w:r w:rsidRPr="00D52C0D">
        <w:rPr>
          <w:b/>
        </w:rPr>
        <w:t xml:space="preserve">: </w:t>
      </w:r>
      <w:r w:rsidR="0020459A">
        <w:rPr>
          <w:b/>
        </w:rPr>
        <w:t>S</w:t>
      </w:r>
      <w:r>
        <w:rPr>
          <w:b/>
        </w:rPr>
        <w:t xml:space="preserve">tart offset/slot offset are common between cell DTX and cell DRX. </w:t>
      </w:r>
    </w:p>
    <w:p w14:paraId="02DB5EE9" w14:textId="5B96AE34" w:rsidR="00541641" w:rsidRDefault="009F1EBA" w:rsidP="00541641">
      <w:pPr>
        <w:pStyle w:val="2"/>
      </w:pPr>
      <w:r>
        <w:t>Activation/Deactivation Type</w:t>
      </w:r>
    </w:p>
    <w:p w14:paraId="24FE37F1" w14:textId="17A1EEC8" w:rsidR="00DC0B3D" w:rsidRDefault="00DC0B3D" w:rsidP="00DC0B3D">
      <w:pPr>
        <w:spacing w:after="120"/>
      </w:pPr>
      <w:bookmarkStart w:id="8" w:name="_Hlk92538289"/>
      <w:r>
        <w:t>In existing configured grant mechanism, 2 types of configured grant are supported, i.e. PUSCH transmission is semi-statically configured by RRC without the detection of an UL grant in a DCI in Type 1, or semi-persistently scheduled by an UL grant in a valid activation DCI in Type 2 [3][4].</w:t>
      </w:r>
    </w:p>
    <w:p w14:paraId="47B4E7E6" w14:textId="77777777" w:rsidR="00DC0B3D" w:rsidRDefault="00DC0B3D" w:rsidP="00DC0B3D">
      <w:pPr>
        <w:spacing w:after="120"/>
      </w:pPr>
      <w:r>
        <w:t>In comparison, it remains unclear and confusing whether Cell DTX/DRX also needs to support 2 types of activation, considering RAN1 progress on introducing group common L1 signalling, i.e. Cell DTX/DRX is implicitly activated once configured by RRC as type 1, and Cell DTX/DRX can be firstly deactivated when configured by RRC but later activated by L1 signalling as type 2. According to the previous RAN2 agreements, at least type 1 is supported. The only difference between the two types is whether Cell DTX/DRX</w:t>
      </w:r>
      <w:r w:rsidRPr="006A6CB3">
        <w:t xml:space="preserve"> can be explicitly deactivated when configured by RRC</w:t>
      </w:r>
      <w:r>
        <w:t>. Therefore, we propose RAN2 to discuss whether type 2 is also supported.</w:t>
      </w:r>
    </w:p>
    <w:p w14:paraId="783C1C4D" w14:textId="5D745FCA" w:rsidR="00A2414B" w:rsidRPr="007B453D" w:rsidRDefault="00DC0B3D" w:rsidP="007B453D">
      <w:pPr>
        <w:spacing w:after="120"/>
        <w:rPr>
          <w:b/>
          <w:szCs w:val="20"/>
        </w:rPr>
      </w:pPr>
      <w:r w:rsidRPr="007E36DE">
        <w:rPr>
          <w:b/>
        </w:rPr>
        <w:t xml:space="preserve">Proposal </w:t>
      </w:r>
      <w:r>
        <w:rPr>
          <w:b/>
        </w:rPr>
        <w:t>4</w:t>
      </w:r>
      <w:r w:rsidRPr="007E36DE">
        <w:rPr>
          <w:b/>
        </w:rPr>
        <w:t xml:space="preserve">: </w:t>
      </w:r>
      <w:r w:rsidRPr="007E36DE">
        <w:rPr>
          <w:rFonts w:cs="Times New Roman"/>
          <w:b/>
          <w:szCs w:val="20"/>
        </w:rPr>
        <w:t xml:space="preserve">RAN2 to discuss whether </w:t>
      </w:r>
      <w:r w:rsidR="00646B95">
        <w:rPr>
          <w:b/>
          <w:szCs w:val="20"/>
        </w:rPr>
        <w:t>an explicit IE</w:t>
      </w:r>
      <w:r>
        <w:rPr>
          <w:b/>
          <w:szCs w:val="20"/>
        </w:rPr>
        <w:t xml:space="preserve"> is included in the RRC configuration to indicate whether Cell DTX/DRX is activated or deactivated upon RRC configuration.</w:t>
      </w:r>
    </w:p>
    <w:p w14:paraId="2E06918D" w14:textId="04D752EB" w:rsidR="00A2414B" w:rsidRDefault="00C011CE" w:rsidP="00A2414B">
      <w:pPr>
        <w:pStyle w:val="2"/>
      </w:pPr>
      <w:r>
        <w:t>M</w:t>
      </w:r>
      <w:r w:rsidR="007B453D">
        <w:t>is-aligned understanding of cell DTX/DRX activation status</w:t>
      </w:r>
    </w:p>
    <w:p w14:paraId="57E9DC75" w14:textId="77777777" w:rsidR="000C31DB" w:rsidRDefault="000C31DB" w:rsidP="000C31DB">
      <w:pPr>
        <w:spacing w:after="120"/>
        <w:rPr>
          <w:rFonts w:cs="Times New Roman"/>
          <w:szCs w:val="20"/>
        </w:rPr>
      </w:pPr>
      <w:r>
        <w:rPr>
          <w:rFonts w:cs="Times New Roman"/>
          <w:szCs w:val="20"/>
        </w:rPr>
        <w:t>So far, it is common understanding that the UE may mis-detect common L1 signalling for cell DTX activation/deactivation, but no solution ha</w:t>
      </w:r>
      <w:bookmarkStart w:id="9" w:name="_GoBack"/>
      <w:bookmarkEnd w:id="9"/>
      <w:r>
        <w:rPr>
          <w:rFonts w:cs="Times New Roman"/>
          <w:szCs w:val="20"/>
        </w:rPr>
        <w:t>s been discussed. As a consequence, the UE and the gNB may have mis-aligned understanding of the cell DTX activation/deactivation status, leading to the following problems:</w:t>
      </w:r>
    </w:p>
    <w:p w14:paraId="41BB53D0" w14:textId="77777777" w:rsidR="000C31DB" w:rsidRPr="00244D18" w:rsidRDefault="000C31DB" w:rsidP="000C31DB">
      <w:pPr>
        <w:pStyle w:val="aa"/>
        <w:numPr>
          <w:ilvl w:val="0"/>
          <w:numId w:val="18"/>
        </w:numPr>
        <w:spacing w:after="120"/>
        <w:ind w:firstLineChars="0"/>
        <w:rPr>
          <w:rFonts w:ascii="Times New Roman" w:hAnsi="Times New Roman"/>
          <w:sz w:val="20"/>
          <w:szCs w:val="20"/>
        </w:rPr>
      </w:pPr>
      <w:r>
        <w:rPr>
          <w:rFonts w:ascii="Times New Roman" w:hAnsi="Times New Roman"/>
          <w:sz w:val="20"/>
          <w:szCs w:val="20"/>
        </w:rPr>
        <w:t xml:space="preserve">The </w:t>
      </w:r>
      <w:r w:rsidRPr="00244D18">
        <w:rPr>
          <w:rFonts w:ascii="Times New Roman" w:hAnsi="Times New Roman"/>
          <w:sz w:val="20"/>
          <w:szCs w:val="20"/>
        </w:rPr>
        <w:t xml:space="preserve">UE may waste energy for PDCCH monitoring during cell DTX non-active period, and SR/CG transmission during cell DRX non-active period, if the UE assume </w:t>
      </w:r>
      <w:r>
        <w:rPr>
          <w:rFonts w:ascii="Times New Roman" w:hAnsi="Times New Roman"/>
          <w:sz w:val="20"/>
          <w:szCs w:val="20"/>
        </w:rPr>
        <w:t>Cell DTX/DRX</w:t>
      </w:r>
      <w:r w:rsidRPr="00244D18">
        <w:rPr>
          <w:rFonts w:ascii="Times New Roman" w:hAnsi="Times New Roman"/>
          <w:sz w:val="20"/>
          <w:szCs w:val="20"/>
        </w:rPr>
        <w:t xml:space="preserve"> is still deactivated while the gNB has actually already activated it</w:t>
      </w:r>
      <w:r>
        <w:rPr>
          <w:rFonts w:ascii="Times New Roman" w:hAnsi="Times New Roman"/>
          <w:sz w:val="20"/>
          <w:szCs w:val="20"/>
        </w:rPr>
        <w:t xml:space="preserve"> with common L1 signalling</w:t>
      </w:r>
      <w:r w:rsidRPr="00244D18">
        <w:rPr>
          <w:rFonts w:ascii="Times New Roman" w:hAnsi="Times New Roman"/>
          <w:sz w:val="20"/>
          <w:szCs w:val="20"/>
        </w:rPr>
        <w:t>;</w:t>
      </w:r>
    </w:p>
    <w:p w14:paraId="4A8B2E33" w14:textId="77777777" w:rsidR="000C31DB" w:rsidRPr="00D21801" w:rsidRDefault="000C31DB" w:rsidP="000C31DB">
      <w:pPr>
        <w:pStyle w:val="aa"/>
        <w:numPr>
          <w:ilvl w:val="0"/>
          <w:numId w:val="18"/>
        </w:numPr>
        <w:spacing w:after="120"/>
        <w:ind w:firstLineChars="0"/>
        <w:rPr>
          <w:szCs w:val="20"/>
        </w:rPr>
      </w:pPr>
      <w:r>
        <w:rPr>
          <w:rFonts w:ascii="Times New Roman" w:hAnsi="Times New Roman"/>
          <w:sz w:val="20"/>
          <w:szCs w:val="20"/>
        </w:rPr>
        <w:t xml:space="preserve">The </w:t>
      </w:r>
      <w:r w:rsidRPr="00244D18">
        <w:rPr>
          <w:rFonts w:ascii="Times New Roman" w:hAnsi="Times New Roman"/>
          <w:sz w:val="20"/>
          <w:szCs w:val="20"/>
        </w:rPr>
        <w:t>UE may miss PDCCH</w:t>
      </w:r>
      <w:r>
        <w:rPr>
          <w:rFonts w:ascii="Times New Roman" w:hAnsi="Times New Roman"/>
          <w:sz w:val="20"/>
          <w:szCs w:val="20"/>
        </w:rPr>
        <w:t>/SPS</w:t>
      </w:r>
      <w:r w:rsidRPr="00244D18">
        <w:rPr>
          <w:rFonts w:ascii="Times New Roman" w:hAnsi="Times New Roman"/>
          <w:sz w:val="20"/>
          <w:szCs w:val="20"/>
        </w:rPr>
        <w:t xml:space="preserve"> detection during cell DTX non-active period, if the UE assume </w:t>
      </w:r>
      <w:r>
        <w:rPr>
          <w:rFonts w:ascii="Times New Roman" w:hAnsi="Times New Roman"/>
          <w:sz w:val="20"/>
          <w:szCs w:val="20"/>
        </w:rPr>
        <w:t>Cell DTX/DRX</w:t>
      </w:r>
      <w:r w:rsidRPr="00244D18">
        <w:rPr>
          <w:rFonts w:ascii="Times New Roman" w:hAnsi="Times New Roman"/>
          <w:sz w:val="20"/>
          <w:szCs w:val="20"/>
        </w:rPr>
        <w:t xml:space="preserve"> is still activated while the gNB has actually already deactivated it</w:t>
      </w:r>
      <w:r w:rsidRPr="00663D10">
        <w:rPr>
          <w:rFonts w:ascii="Times New Roman" w:hAnsi="Times New Roman"/>
          <w:sz w:val="20"/>
          <w:szCs w:val="20"/>
        </w:rPr>
        <w:t xml:space="preserve"> </w:t>
      </w:r>
      <w:r>
        <w:rPr>
          <w:rFonts w:ascii="Times New Roman" w:hAnsi="Times New Roman"/>
          <w:sz w:val="20"/>
          <w:szCs w:val="20"/>
        </w:rPr>
        <w:t>with common L1 signalling</w:t>
      </w:r>
      <w:r w:rsidRPr="00244D18">
        <w:rPr>
          <w:rFonts w:ascii="Times New Roman" w:hAnsi="Times New Roman"/>
          <w:sz w:val="20"/>
          <w:szCs w:val="20"/>
        </w:rPr>
        <w:t>;</w:t>
      </w:r>
    </w:p>
    <w:p w14:paraId="587839FC" w14:textId="2A5ACC8E" w:rsidR="000C31DB" w:rsidRPr="00244D18" w:rsidRDefault="000C31DB" w:rsidP="000C31DB">
      <w:pPr>
        <w:spacing w:after="120"/>
        <w:rPr>
          <w:rFonts w:cs="Times New Roman"/>
          <w:b/>
          <w:szCs w:val="20"/>
        </w:rPr>
      </w:pPr>
      <w:r w:rsidRPr="00244D18">
        <w:rPr>
          <w:rFonts w:cs="Times New Roman"/>
          <w:b/>
          <w:szCs w:val="20"/>
        </w:rPr>
        <w:t>Observation</w:t>
      </w:r>
      <w:r>
        <w:rPr>
          <w:rFonts w:cs="Times New Roman"/>
          <w:b/>
          <w:szCs w:val="20"/>
        </w:rPr>
        <w:t xml:space="preserve"> 1</w:t>
      </w:r>
      <w:r w:rsidRPr="00244D18">
        <w:rPr>
          <w:rFonts w:cs="Times New Roman"/>
          <w:b/>
          <w:szCs w:val="20"/>
        </w:rPr>
        <w:t xml:space="preserve">: </w:t>
      </w:r>
      <w:r>
        <w:rPr>
          <w:rFonts w:cs="Times New Roman"/>
          <w:b/>
          <w:szCs w:val="20"/>
        </w:rPr>
        <w:t>The UE and the gNB</w:t>
      </w:r>
      <w:r w:rsidRPr="00244D18">
        <w:rPr>
          <w:b/>
        </w:rPr>
        <w:t xml:space="preserve"> may have misaligned understanding of </w:t>
      </w:r>
      <w:r>
        <w:rPr>
          <w:b/>
        </w:rPr>
        <w:t>Cell DTX/DRX</w:t>
      </w:r>
      <w:r w:rsidRPr="00244D18">
        <w:rPr>
          <w:b/>
        </w:rPr>
        <w:t xml:space="preserve"> activation/deactivation status</w:t>
      </w:r>
      <w:r>
        <w:rPr>
          <w:b/>
        </w:rPr>
        <w:t xml:space="preserve"> due to signaling mis-detection when Cell DTX/DRX is activated/deactivated by group common L1 signaling, which causes the UE wasting energy in one case or missing PDCCH/SPS detection in another case</w:t>
      </w:r>
      <w:r w:rsidRPr="00244D18">
        <w:rPr>
          <w:b/>
        </w:rPr>
        <w:t>.</w:t>
      </w:r>
    </w:p>
    <w:p w14:paraId="17556220" w14:textId="4F55A93B" w:rsidR="000C31DB" w:rsidRDefault="000C31DB" w:rsidP="000C31DB">
      <w:pPr>
        <w:spacing w:after="120"/>
        <w:rPr>
          <w:rFonts w:cs="Times New Roman"/>
          <w:szCs w:val="20"/>
        </w:rPr>
      </w:pPr>
      <w:r>
        <w:rPr>
          <w:rFonts w:cs="Times New Roman"/>
          <w:szCs w:val="20"/>
        </w:rPr>
        <w:t>If the gNB relies on reusing C-DRX reconfiguration for alignment in the case where</w:t>
      </w:r>
      <w:r w:rsidRPr="00AD21B5">
        <w:rPr>
          <w:rFonts w:cs="Times New Roman"/>
          <w:szCs w:val="20"/>
        </w:rPr>
        <w:t xml:space="preserve"> </w:t>
      </w:r>
      <w:r>
        <w:rPr>
          <w:rFonts w:cs="Times New Roman"/>
          <w:szCs w:val="20"/>
        </w:rPr>
        <w:t xml:space="preserve">cell DTX activation/deactivation is </w:t>
      </w:r>
      <w:r>
        <w:rPr>
          <w:rFonts w:cs="Times New Roman"/>
          <w:szCs w:val="20"/>
        </w:rPr>
        <w:lastRenderedPageBreak/>
        <w:t xml:space="preserve">triggered by L1 signalling as illustrated in Fig. </w:t>
      </w:r>
      <w:r w:rsidR="00DE2CB6">
        <w:rPr>
          <w:rFonts w:cs="Times New Roman"/>
          <w:szCs w:val="20"/>
        </w:rPr>
        <w:t>1</w:t>
      </w:r>
      <w:r>
        <w:rPr>
          <w:rFonts w:cs="Times New Roman"/>
          <w:szCs w:val="20"/>
        </w:rPr>
        <w:t>, problem occurs</w:t>
      </w:r>
      <w:r w:rsidR="00DE2CB6">
        <w:rPr>
          <w:rFonts w:cs="Times New Roman"/>
          <w:szCs w:val="20"/>
        </w:rPr>
        <w:t xml:space="preserve"> as</w:t>
      </w:r>
      <w:r>
        <w:rPr>
          <w:rFonts w:cs="Times New Roman"/>
          <w:szCs w:val="20"/>
        </w:rPr>
        <w:t xml:space="preserve"> the gNB is unable to detect that some UEs have mis-aligned understanding of cell DTX activation/deactivation status in (3). </w:t>
      </w:r>
    </w:p>
    <w:p w14:paraId="41A2167A" w14:textId="4F292C35" w:rsidR="000C31DB" w:rsidRDefault="004B04B3" w:rsidP="000C31DB">
      <w:pPr>
        <w:spacing w:after="120"/>
      </w:pPr>
      <w:r>
        <w:object w:dxaOrig="18828" w:dyaOrig="5545" w14:anchorId="3C8E4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41.8pt" o:ole="">
            <v:imagedata r:id="rId7" o:title=""/>
          </v:shape>
          <o:OLEObject Type="Embed" ProgID="Visio.Drawing.15" ShapeID="_x0000_i1025" DrawAspect="Content" ObjectID="_1757428452" r:id="rId8"/>
        </w:object>
      </w:r>
    </w:p>
    <w:p w14:paraId="024530A6" w14:textId="1F43ACD3" w:rsidR="000C31DB" w:rsidRDefault="000C31DB" w:rsidP="000C31DB">
      <w:pPr>
        <w:spacing w:after="120"/>
        <w:jc w:val="center"/>
        <w:rPr>
          <w:rFonts w:cs="Times New Roman"/>
          <w:b/>
          <w:szCs w:val="20"/>
        </w:rPr>
      </w:pPr>
      <w:r w:rsidRPr="00D21801">
        <w:rPr>
          <w:rFonts w:cs="Times New Roman"/>
          <w:b/>
          <w:szCs w:val="20"/>
        </w:rPr>
        <w:t xml:space="preserve">Fig. </w:t>
      </w:r>
      <w:r w:rsidR="00DE2CB6">
        <w:rPr>
          <w:rFonts w:cs="Times New Roman"/>
          <w:b/>
          <w:szCs w:val="20"/>
        </w:rPr>
        <w:t>1</w:t>
      </w:r>
    </w:p>
    <w:p w14:paraId="3367FA1E" w14:textId="696CC491" w:rsidR="000C31DB" w:rsidRDefault="000C31DB" w:rsidP="000C31DB">
      <w:pPr>
        <w:spacing w:after="120"/>
        <w:rPr>
          <w:rFonts w:cs="Times New Roman"/>
          <w:szCs w:val="20"/>
        </w:rPr>
      </w:pPr>
      <w:r>
        <w:rPr>
          <w:rFonts w:cs="Times New Roman"/>
          <w:szCs w:val="20"/>
        </w:rPr>
        <w:t xml:space="preserve">As Fig. </w:t>
      </w:r>
      <w:r w:rsidR="004B04B3">
        <w:rPr>
          <w:rFonts w:cs="Times New Roman"/>
          <w:szCs w:val="20"/>
        </w:rPr>
        <w:t>2</w:t>
      </w:r>
      <w:r>
        <w:rPr>
          <w:rFonts w:cs="Times New Roman"/>
          <w:szCs w:val="20"/>
        </w:rPr>
        <w:t xml:space="preserve"> shows, since the gNB has reused the legacy C-DRX reconfiguration to align all UE C-DRX with cell DTX, the UE can receive PDCCH</w:t>
      </w:r>
      <w:r w:rsidR="009859B7">
        <w:rPr>
          <w:rFonts w:cs="Times New Roman"/>
          <w:szCs w:val="20"/>
        </w:rPr>
        <w:t>/PDSCH</w:t>
      </w:r>
      <w:r>
        <w:rPr>
          <w:rFonts w:cs="Times New Roman"/>
          <w:szCs w:val="20"/>
        </w:rPr>
        <w:t xml:space="preserve"> during the C-DRX active time located within cell DTX on-duration and response HARQ ACK/NACK to the gNB when cell DTX is activated. Although the UE may transmit SR/CG in the cell DRX non-active period, the gNB will not be aware of it since it shuts down </w:t>
      </w:r>
      <w:r w:rsidR="009859B7">
        <w:rPr>
          <w:rFonts w:cs="Times New Roman"/>
          <w:szCs w:val="20"/>
        </w:rPr>
        <w:t xml:space="preserve">the </w:t>
      </w:r>
      <w:r>
        <w:rPr>
          <w:rFonts w:cs="Times New Roman"/>
          <w:szCs w:val="20"/>
        </w:rPr>
        <w:t>reception. Therefore, the gNB may assume all UEs have successfully decoded common L1 signalling. As a consequence, the problem of mis-aligned understanding of cell DTX activation/deactivation status between the UE and the gNB will not be addressed.</w:t>
      </w:r>
    </w:p>
    <w:p w14:paraId="36F31204" w14:textId="67EAF1D3" w:rsidR="000C31DB" w:rsidRDefault="000C31DB" w:rsidP="000C31DB">
      <w:pPr>
        <w:spacing w:after="120"/>
        <w:rPr>
          <w:rFonts w:cs="Times New Roman"/>
          <w:b/>
          <w:szCs w:val="20"/>
        </w:rPr>
      </w:pPr>
      <w:r w:rsidRPr="00244D18">
        <w:rPr>
          <w:rFonts w:cs="Times New Roman"/>
          <w:b/>
          <w:szCs w:val="20"/>
        </w:rPr>
        <w:t>Observation</w:t>
      </w:r>
      <w:r>
        <w:rPr>
          <w:rFonts w:cs="Times New Roman"/>
          <w:b/>
          <w:szCs w:val="20"/>
        </w:rPr>
        <w:t xml:space="preserve"> </w:t>
      </w:r>
      <w:r w:rsidR="00DE2CB6">
        <w:rPr>
          <w:rFonts w:cs="Times New Roman"/>
          <w:b/>
          <w:szCs w:val="20"/>
        </w:rPr>
        <w:t>2</w:t>
      </w:r>
      <w:r w:rsidRPr="00244D18">
        <w:rPr>
          <w:rFonts w:cs="Times New Roman"/>
          <w:b/>
          <w:szCs w:val="20"/>
        </w:rPr>
        <w:t xml:space="preserve">: </w:t>
      </w:r>
      <w:r>
        <w:rPr>
          <w:rFonts w:cs="Times New Roman"/>
          <w:b/>
          <w:szCs w:val="20"/>
        </w:rPr>
        <w:t xml:space="preserve">The gNB is unable to detect that some UEs mis-detect common L1 signaling if reusing legacy C-DRX reconfiguration for alignment </w:t>
      </w:r>
      <w:r>
        <w:rPr>
          <w:rFonts w:cs="Times New Roman" w:hint="eastAsia"/>
          <w:b/>
          <w:szCs w:val="20"/>
        </w:rPr>
        <w:t>be</w:t>
      </w:r>
      <w:r>
        <w:rPr>
          <w:rFonts w:cs="Times New Roman"/>
          <w:b/>
          <w:szCs w:val="20"/>
        </w:rPr>
        <w:t>tween C-DRX and cell DTX.</w:t>
      </w:r>
    </w:p>
    <w:p w14:paraId="2606E804" w14:textId="77777777" w:rsidR="000C31DB" w:rsidRDefault="000C31DB" w:rsidP="000C31DB">
      <w:pPr>
        <w:jc w:val="center"/>
        <w:rPr>
          <w:rFonts w:cs="Times New Roman"/>
          <w:b/>
          <w:szCs w:val="20"/>
        </w:rPr>
      </w:pPr>
      <w:r>
        <w:object w:dxaOrig="15265" w:dyaOrig="10956" w14:anchorId="1175311D">
          <v:shape id="_x0000_i1026" type="#_x0000_t75" style="width:478.35pt;height:344.2pt" o:ole="">
            <v:imagedata r:id="rId9" o:title=""/>
          </v:shape>
          <o:OLEObject Type="Embed" ProgID="Visio.Drawing.15" ShapeID="_x0000_i1026" DrawAspect="Content" ObjectID="_1757428453" r:id="rId10"/>
        </w:object>
      </w:r>
    </w:p>
    <w:p w14:paraId="71FF9CA5" w14:textId="3524CC4E" w:rsidR="000C31DB" w:rsidRDefault="000C31DB" w:rsidP="000C31DB">
      <w:pPr>
        <w:spacing w:after="120"/>
        <w:jc w:val="center"/>
        <w:rPr>
          <w:rFonts w:cs="Times New Roman"/>
          <w:b/>
          <w:szCs w:val="20"/>
        </w:rPr>
      </w:pPr>
      <w:r w:rsidRPr="0071763D">
        <w:rPr>
          <w:rFonts w:cs="Times New Roman"/>
          <w:b/>
          <w:szCs w:val="20"/>
        </w:rPr>
        <w:lastRenderedPageBreak/>
        <w:t xml:space="preserve">Fig. </w:t>
      </w:r>
      <w:r w:rsidR="004B04B3">
        <w:rPr>
          <w:rFonts w:cs="Times New Roman"/>
          <w:b/>
          <w:szCs w:val="20"/>
        </w:rPr>
        <w:t>2</w:t>
      </w:r>
      <w:r>
        <w:rPr>
          <w:rFonts w:cs="Times New Roman"/>
          <w:b/>
          <w:szCs w:val="20"/>
        </w:rPr>
        <w:t>: mis-aligned understanding of cell DTX activation status when legacy C-DRX reconfiguration is reused in the case where cell DTX activation/deactivation is triggered by group common L1 signalling</w:t>
      </w:r>
    </w:p>
    <w:p w14:paraId="632269F0" w14:textId="1720D99C" w:rsidR="004B04B3" w:rsidRDefault="004B04B3" w:rsidP="003C4885">
      <w:pPr>
        <w:spacing w:after="120"/>
      </w:pPr>
      <w:r>
        <w:t xml:space="preserve">Therefore, we propose RAN2 to discuss how to address the mis-aligned understanding issue. The following </w:t>
      </w:r>
      <w:r w:rsidR="003C4885">
        <w:t>solution</w:t>
      </w:r>
      <w:r>
        <w:t xml:space="preserve"> can be discussed as a start:</w:t>
      </w:r>
      <w:r w:rsidR="003C4885">
        <w:t xml:space="preserve"> </w:t>
      </w:r>
      <w:r>
        <w:t xml:space="preserve">Rely on NW implementation, e.g. by </w:t>
      </w:r>
      <w:r w:rsidR="00932E8E">
        <w:t xml:space="preserve">sending </w:t>
      </w:r>
      <w:r>
        <w:t>group common L1 signalling</w:t>
      </w:r>
      <w:r w:rsidR="00FE0AE7">
        <w:t xml:space="preserve"> for several times</w:t>
      </w:r>
      <w:r w:rsidR="003C4885">
        <w:t>.</w:t>
      </w:r>
    </w:p>
    <w:p w14:paraId="406AB527" w14:textId="65DF0B52" w:rsidR="003C4885" w:rsidRPr="007B453D" w:rsidRDefault="003C4885" w:rsidP="003C4885">
      <w:pPr>
        <w:spacing w:after="120"/>
        <w:rPr>
          <w:b/>
          <w:szCs w:val="20"/>
        </w:rPr>
      </w:pPr>
      <w:r w:rsidRPr="007E36DE">
        <w:rPr>
          <w:b/>
        </w:rPr>
        <w:t xml:space="preserve">Proposal </w:t>
      </w:r>
      <w:r w:rsidR="009859B7">
        <w:rPr>
          <w:b/>
        </w:rPr>
        <w:t>5</w:t>
      </w:r>
      <w:r w:rsidRPr="007E36DE">
        <w:rPr>
          <w:b/>
        </w:rPr>
        <w:t xml:space="preserve">: </w:t>
      </w:r>
      <w:r w:rsidRPr="007E36DE">
        <w:rPr>
          <w:rFonts w:cs="Times New Roman"/>
          <w:b/>
          <w:szCs w:val="20"/>
        </w:rPr>
        <w:t xml:space="preserve">RAN2 to discuss </w:t>
      </w:r>
      <w:r>
        <w:rPr>
          <w:rFonts w:cs="Times New Roman"/>
          <w:b/>
          <w:szCs w:val="20"/>
        </w:rPr>
        <w:t xml:space="preserve">how the NW handles </w:t>
      </w:r>
      <w:r w:rsidRPr="003C4885">
        <w:rPr>
          <w:rFonts w:cs="Times New Roman"/>
          <w:b/>
          <w:szCs w:val="20"/>
        </w:rPr>
        <w:t>mis-aligned understanding</w:t>
      </w:r>
      <w:r>
        <w:rPr>
          <w:rFonts w:cs="Times New Roman"/>
          <w:b/>
          <w:szCs w:val="20"/>
        </w:rPr>
        <w:t xml:space="preserve"> of cell DTX/DRX activation status due to UE mis-detection of group common L1 signalling, e.g. rely on NW implementation such as </w:t>
      </w:r>
      <w:r w:rsidR="00FE0AE7" w:rsidRPr="00FE0AE7">
        <w:rPr>
          <w:rFonts w:cs="Times New Roman"/>
          <w:b/>
          <w:szCs w:val="20"/>
        </w:rPr>
        <w:t>sending group common L1 signalling for several times</w:t>
      </w:r>
      <w:r>
        <w:rPr>
          <w:rFonts w:cs="Times New Roman"/>
          <w:b/>
          <w:szCs w:val="20"/>
        </w:rPr>
        <w:t>.</w:t>
      </w:r>
    </w:p>
    <w:bookmarkEnd w:id="8"/>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741DE827" w14:textId="77777777" w:rsidR="00516F90" w:rsidRPr="00EB6062" w:rsidRDefault="00516F90" w:rsidP="00516F90">
      <w:pPr>
        <w:spacing w:after="120"/>
        <w:rPr>
          <w:b/>
        </w:rPr>
      </w:pPr>
      <w:r w:rsidRPr="00EB6062">
        <w:rPr>
          <w:b/>
        </w:rPr>
        <w:t>Proposal 1: The cell DTX configuration includes cell DTX inactivityTimer, which is also a cell common parameter.</w:t>
      </w:r>
    </w:p>
    <w:p w14:paraId="3A600E2A" w14:textId="438C93E3" w:rsidR="00516F90" w:rsidRPr="00D52C0D" w:rsidRDefault="00516F90" w:rsidP="00516F90">
      <w:pPr>
        <w:spacing w:after="120"/>
        <w:rPr>
          <w:b/>
        </w:rPr>
      </w:pPr>
      <w:r w:rsidRPr="00D52C0D">
        <w:rPr>
          <w:b/>
        </w:rPr>
        <w:t>Proposal 2: Cell DTX inactivit</w:t>
      </w:r>
      <w:r>
        <w:rPr>
          <w:b/>
        </w:rPr>
        <w:t>y</w:t>
      </w:r>
      <w:r w:rsidRPr="00D52C0D">
        <w:rPr>
          <w:b/>
        </w:rPr>
        <w:t>Timer is maintained per UE, and the NW does not need to inform the status of Cell DTX inactivit</w:t>
      </w:r>
      <w:r w:rsidR="0020459A">
        <w:rPr>
          <w:b/>
        </w:rPr>
        <w:t>y</w:t>
      </w:r>
      <w:r w:rsidRPr="00D52C0D">
        <w:rPr>
          <w:b/>
        </w:rPr>
        <w:t>Timer to the UEs which are not scheduled.</w:t>
      </w:r>
    </w:p>
    <w:p w14:paraId="120C2D9D" w14:textId="3C1F3B90" w:rsidR="00516F90" w:rsidRPr="007C0AC5" w:rsidRDefault="00516F90" w:rsidP="00516F90">
      <w:pPr>
        <w:spacing w:before="120" w:after="120"/>
        <w:rPr>
          <w:b/>
        </w:rPr>
      </w:pPr>
      <w:r w:rsidRPr="00D52C0D">
        <w:rPr>
          <w:b/>
        </w:rPr>
        <w:t xml:space="preserve">Proposal </w:t>
      </w:r>
      <w:r>
        <w:rPr>
          <w:b/>
        </w:rPr>
        <w:t>3</w:t>
      </w:r>
      <w:r w:rsidRPr="00D52C0D">
        <w:rPr>
          <w:b/>
        </w:rPr>
        <w:t xml:space="preserve">: </w:t>
      </w:r>
      <w:r w:rsidR="0020459A">
        <w:rPr>
          <w:rFonts w:hint="eastAsia"/>
          <w:b/>
        </w:rPr>
        <w:t>S</w:t>
      </w:r>
      <w:r>
        <w:rPr>
          <w:b/>
        </w:rPr>
        <w:t xml:space="preserve">tart offset/slot offset are common between cell DTX and cell DRX. </w:t>
      </w:r>
    </w:p>
    <w:p w14:paraId="783E9708" w14:textId="77777777" w:rsidR="00516F90" w:rsidRPr="007B453D" w:rsidRDefault="00516F90" w:rsidP="00516F90">
      <w:pPr>
        <w:spacing w:after="120"/>
        <w:rPr>
          <w:b/>
          <w:szCs w:val="20"/>
        </w:rPr>
      </w:pPr>
      <w:r w:rsidRPr="007E36DE">
        <w:rPr>
          <w:b/>
        </w:rPr>
        <w:t xml:space="preserve">Proposal </w:t>
      </w:r>
      <w:r>
        <w:rPr>
          <w:b/>
        </w:rPr>
        <w:t>4</w:t>
      </w:r>
      <w:r w:rsidRPr="007E36DE">
        <w:rPr>
          <w:b/>
        </w:rPr>
        <w:t xml:space="preserve">: </w:t>
      </w:r>
      <w:r w:rsidRPr="007E36DE">
        <w:rPr>
          <w:rFonts w:cs="Times New Roman"/>
          <w:b/>
          <w:szCs w:val="20"/>
        </w:rPr>
        <w:t xml:space="preserve">RAN2 to discuss whether </w:t>
      </w:r>
      <w:r>
        <w:rPr>
          <w:b/>
          <w:szCs w:val="20"/>
        </w:rPr>
        <w:t>an explicit IE is included in the RRC configuration to indicate whether Cell DTX/DRX is activated or deactivated upon RRC configuration.</w:t>
      </w:r>
    </w:p>
    <w:p w14:paraId="1434F430" w14:textId="77777777" w:rsidR="00516F90" w:rsidRPr="00244D18" w:rsidRDefault="00516F90" w:rsidP="00516F90">
      <w:pPr>
        <w:spacing w:after="120"/>
        <w:rPr>
          <w:rFonts w:cs="Times New Roman"/>
          <w:b/>
          <w:szCs w:val="20"/>
        </w:rPr>
      </w:pPr>
      <w:r w:rsidRPr="00244D18">
        <w:rPr>
          <w:rFonts w:cs="Times New Roman"/>
          <w:b/>
          <w:szCs w:val="20"/>
        </w:rPr>
        <w:t>Observation</w:t>
      </w:r>
      <w:r>
        <w:rPr>
          <w:rFonts w:cs="Times New Roman"/>
          <w:b/>
          <w:szCs w:val="20"/>
        </w:rPr>
        <w:t xml:space="preserve"> 1</w:t>
      </w:r>
      <w:r w:rsidRPr="00244D18">
        <w:rPr>
          <w:rFonts w:cs="Times New Roman"/>
          <w:b/>
          <w:szCs w:val="20"/>
        </w:rPr>
        <w:t xml:space="preserve">: </w:t>
      </w:r>
      <w:r>
        <w:rPr>
          <w:rFonts w:cs="Times New Roman"/>
          <w:b/>
          <w:szCs w:val="20"/>
        </w:rPr>
        <w:t>The UE and the gNB</w:t>
      </w:r>
      <w:r w:rsidRPr="00244D18">
        <w:rPr>
          <w:b/>
        </w:rPr>
        <w:t xml:space="preserve"> may have misaligned understanding of </w:t>
      </w:r>
      <w:r>
        <w:rPr>
          <w:b/>
        </w:rPr>
        <w:t>Cell DTX/DRX</w:t>
      </w:r>
      <w:r w:rsidRPr="00244D18">
        <w:rPr>
          <w:b/>
        </w:rPr>
        <w:t xml:space="preserve"> activation/deactivation status</w:t>
      </w:r>
      <w:r>
        <w:rPr>
          <w:b/>
        </w:rPr>
        <w:t xml:space="preserve"> due to signaling mis-detection when Cell DTX/DRX is activated/deactivated by group common L1 signaling, which causes the UE wasting energy in one case or missing PDCCH/SPS detection in another case</w:t>
      </w:r>
      <w:r w:rsidRPr="00244D18">
        <w:rPr>
          <w:b/>
        </w:rPr>
        <w:t>.</w:t>
      </w:r>
    </w:p>
    <w:p w14:paraId="4E8886AA" w14:textId="77777777" w:rsidR="00516F90" w:rsidRDefault="00516F90" w:rsidP="00516F90">
      <w:pPr>
        <w:spacing w:after="120"/>
        <w:rPr>
          <w:rFonts w:cs="Times New Roman"/>
          <w:b/>
          <w:szCs w:val="20"/>
        </w:rPr>
      </w:pPr>
      <w:r w:rsidRPr="00244D18">
        <w:rPr>
          <w:rFonts w:cs="Times New Roman"/>
          <w:b/>
          <w:szCs w:val="20"/>
        </w:rPr>
        <w:t>Observation</w:t>
      </w:r>
      <w:r>
        <w:rPr>
          <w:rFonts w:cs="Times New Roman"/>
          <w:b/>
          <w:szCs w:val="20"/>
        </w:rPr>
        <w:t xml:space="preserve"> 2</w:t>
      </w:r>
      <w:r w:rsidRPr="00244D18">
        <w:rPr>
          <w:rFonts w:cs="Times New Roman"/>
          <w:b/>
          <w:szCs w:val="20"/>
        </w:rPr>
        <w:t xml:space="preserve">: </w:t>
      </w:r>
      <w:r>
        <w:rPr>
          <w:rFonts w:cs="Times New Roman"/>
          <w:b/>
          <w:szCs w:val="20"/>
        </w:rPr>
        <w:t xml:space="preserve">The gNB is unable to detect that some UEs mis-detect common L1 signaling if reusing legacy C-DRX reconfiguration for alignment </w:t>
      </w:r>
      <w:r>
        <w:rPr>
          <w:rFonts w:cs="Times New Roman" w:hint="eastAsia"/>
          <w:b/>
          <w:szCs w:val="20"/>
        </w:rPr>
        <w:t>be</w:t>
      </w:r>
      <w:r>
        <w:rPr>
          <w:rFonts w:cs="Times New Roman"/>
          <w:b/>
          <w:szCs w:val="20"/>
        </w:rPr>
        <w:t>tween C-DRX and cell DTX.</w:t>
      </w:r>
    </w:p>
    <w:p w14:paraId="66A30E8F" w14:textId="77777777" w:rsidR="00516F90" w:rsidRPr="007B453D" w:rsidRDefault="00516F90" w:rsidP="00516F90">
      <w:pPr>
        <w:spacing w:after="120"/>
        <w:rPr>
          <w:b/>
          <w:szCs w:val="20"/>
        </w:rPr>
      </w:pPr>
      <w:r w:rsidRPr="007E36DE">
        <w:rPr>
          <w:b/>
        </w:rPr>
        <w:t xml:space="preserve">Proposal </w:t>
      </w:r>
      <w:r>
        <w:rPr>
          <w:b/>
        </w:rPr>
        <w:t>5</w:t>
      </w:r>
      <w:r w:rsidRPr="007E36DE">
        <w:rPr>
          <w:b/>
        </w:rPr>
        <w:t xml:space="preserve">: </w:t>
      </w:r>
      <w:r w:rsidRPr="007E36DE">
        <w:rPr>
          <w:rFonts w:cs="Times New Roman"/>
          <w:b/>
          <w:szCs w:val="20"/>
        </w:rPr>
        <w:t xml:space="preserve">RAN2 to discuss </w:t>
      </w:r>
      <w:r>
        <w:rPr>
          <w:rFonts w:cs="Times New Roman"/>
          <w:b/>
          <w:szCs w:val="20"/>
        </w:rPr>
        <w:t xml:space="preserve">how the NW handles </w:t>
      </w:r>
      <w:r w:rsidRPr="003C4885">
        <w:rPr>
          <w:rFonts w:cs="Times New Roman"/>
          <w:b/>
          <w:szCs w:val="20"/>
        </w:rPr>
        <w:t>mis-aligned understanding</w:t>
      </w:r>
      <w:r>
        <w:rPr>
          <w:rFonts w:cs="Times New Roman"/>
          <w:b/>
          <w:szCs w:val="20"/>
        </w:rPr>
        <w:t xml:space="preserve"> of cell DTX/DRX activation status due to UE mis-detection of group common L1 signalling, e.g. rely on NW implementation such as </w:t>
      </w:r>
      <w:r w:rsidRPr="00FE0AE7">
        <w:rPr>
          <w:rFonts w:cs="Times New Roman"/>
          <w:b/>
          <w:szCs w:val="20"/>
        </w:rPr>
        <w:t>sending group common L1 signalling for several times</w:t>
      </w:r>
      <w:r>
        <w:rPr>
          <w:rFonts w:cs="Times New Roman"/>
          <w:b/>
          <w:szCs w:val="20"/>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47E7F3A7" w:rsidR="00541641" w:rsidRDefault="00F27036" w:rsidP="00541641">
      <w:pPr>
        <w:pStyle w:val="aa"/>
        <w:widowControl/>
        <w:numPr>
          <w:ilvl w:val="0"/>
          <w:numId w:val="13"/>
        </w:numPr>
        <w:ind w:firstLineChars="0"/>
        <w:jc w:val="left"/>
        <w:rPr>
          <w:rFonts w:ascii="Times New Roman" w:hAnsi="Times New Roman"/>
          <w:sz w:val="20"/>
          <w:szCs w:val="20"/>
        </w:rPr>
      </w:pPr>
      <w:proofErr w:type="spellStart"/>
      <w:r>
        <w:rPr>
          <w:rFonts w:ascii="Times New Roman" w:hAnsi="Times New Roman"/>
          <w:sz w:val="20"/>
          <w:szCs w:val="20"/>
        </w:rPr>
        <w:t>R2#12</w:t>
      </w:r>
      <w:r w:rsidR="00723C0F">
        <w:rPr>
          <w:rFonts w:ascii="Times New Roman" w:hAnsi="Times New Roman"/>
          <w:sz w:val="20"/>
          <w:szCs w:val="20"/>
        </w:rPr>
        <w:t>3</w:t>
      </w:r>
      <w:proofErr w:type="spellEnd"/>
      <w:r>
        <w:rPr>
          <w:rFonts w:ascii="Times New Roman" w:hAnsi="Times New Roman"/>
          <w:sz w:val="20"/>
          <w:szCs w:val="20"/>
        </w:rPr>
        <w:t xml:space="preserve"> meeting minutes</w:t>
      </w:r>
    </w:p>
    <w:p w14:paraId="287B2FAD" w14:textId="6716B73D" w:rsidR="008E5052" w:rsidRPr="00E14384" w:rsidRDefault="008E5052" w:rsidP="00541641">
      <w:pPr>
        <w:pStyle w:val="aa"/>
        <w:widowControl/>
        <w:numPr>
          <w:ilvl w:val="0"/>
          <w:numId w:val="13"/>
        </w:numPr>
        <w:ind w:firstLineChars="0"/>
        <w:jc w:val="left"/>
        <w:rPr>
          <w:rFonts w:ascii="Times New Roman" w:hAnsi="Times New Roman"/>
          <w:sz w:val="20"/>
          <w:szCs w:val="20"/>
        </w:rPr>
      </w:pPr>
      <w:proofErr w:type="spellStart"/>
      <w:r>
        <w:rPr>
          <w:rFonts w:ascii="Times New Roman" w:hAnsi="Times New Roman"/>
          <w:sz w:val="20"/>
          <w:szCs w:val="20"/>
        </w:rPr>
        <w:t>R2#122</w:t>
      </w:r>
      <w:proofErr w:type="spellEnd"/>
      <w:r>
        <w:rPr>
          <w:rFonts w:ascii="Times New Roman" w:hAnsi="Times New Roman"/>
          <w:sz w:val="20"/>
          <w:szCs w:val="20"/>
        </w:rPr>
        <w:t xml:space="preserve"> meeting minutes</w:t>
      </w:r>
    </w:p>
    <w:p w14:paraId="7E52C8BB" w14:textId="77777777" w:rsidR="00DC0B3D" w:rsidRDefault="00DC0B3D" w:rsidP="00DC0B3D">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38.214, </w:t>
      </w:r>
      <w:proofErr w:type="spellStart"/>
      <w:r>
        <w:rPr>
          <w:rFonts w:ascii="Times New Roman" w:hAnsi="Times New Roman"/>
          <w:color w:val="000000"/>
          <w:kern w:val="0"/>
          <w:sz w:val="20"/>
          <w:szCs w:val="20"/>
        </w:rPr>
        <w:t>V17.6.0</w:t>
      </w:r>
      <w:proofErr w:type="spellEnd"/>
    </w:p>
    <w:p w14:paraId="1B293CAB" w14:textId="69B91062" w:rsidR="00516F90" w:rsidRPr="00516F90" w:rsidRDefault="00DC0B3D" w:rsidP="00516F90">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38.321, </w:t>
      </w:r>
      <w:proofErr w:type="spellStart"/>
      <w:r>
        <w:rPr>
          <w:rFonts w:ascii="Times New Roman" w:hAnsi="Times New Roman"/>
          <w:color w:val="000000"/>
          <w:kern w:val="0"/>
          <w:sz w:val="20"/>
          <w:szCs w:val="20"/>
        </w:rPr>
        <w:t>V17.5.0</w:t>
      </w:r>
      <w:proofErr w:type="spellEnd"/>
    </w:p>
    <w:sectPr w:rsidR="00516F90" w:rsidRPr="00516F90"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C21C" w14:textId="77777777" w:rsidR="00516C03" w:rsidRDefault="00516C03" w:rsidP="003E7FE5">
      <w:r>
        <w:separator/>
      </w:r>
    </w:p>
  </w:endnote>
  <w:endnote w:type="continuationSeparator" w:id="0">
    <w:p w14:paraId="0C65225B" w14:textId="77777777" w:rsidR="00516C03" w:rsidRDefault="00516C03"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5222E" w14:textId="77777777" w:rsidR="00516C03" w:rsidRDefault="00516C03" w:rsidP="003E7FE5">
      <w:r>
        <w:separator/>
      </w:r>
    </w:p>
  </w:footnote>
  <w:footnote w:type="continuationSeparator" w:id="0">
    <w:p w14:paraId="4A89C5FB" w14:textId="77777777" w:rsidR="00516C03" w:rsidRDefault="00516C03"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02A1FCD"/>
    <w:multiLevelType w:val="hybridMultilevel"/>
    <w:tmpl w:val="7FEC0F4C"/>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56E84"/>
    <w:multiLevelType w:val="hybridMultilevel"/>
    <w:tmpl w:val="0088AD00"/>
    <w:lvl w:ilvl="0" w:tplc="C6369E86">
      <w:start w:val="1"/>
      <w:numFmt w:val="bullet"/>
      <w:lvlText w:val="-"/>
      <w:lvlJc w:val="left"/>
      <w:pPr>
        <w:ind w:left="827" w:hanging="360"/>
      </w:pPr>
      <w:rPr>
        <w:rFonts w:ascii="宋体" w:eastAsia="宋体" w:hAnsi="宋体" w:hint="eastAsi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9"/>
  </w:num>
  <w:num w:numId="4">
    <w:abstractNumId w:val="2"/>
  </w:num>
  <w:num w:numId="5">
    <w:abstractNumId w:val="16"/>
  </w:num>
  <w:num w:numId="6">
    <w:abstractNumId w:val="15"/>
  </w:num>
  <w:num w:numId="7">
    <w:abstractNumId w:val="8"/>
  </w:num>
  <w:num w:numId="8">
    <w:abstractNumId w:val="4"/>
  </w:num>
  <w:num w:numId="9">
    <w:abstractNumId w:val="17"/>
  </w:num>
  <w:num w:numId="10">
    <w:abstractNumId w:val="7"/>
  </w:num>
  <w:num w:numId="11">
    <w:abstractNumId w:val="13"/>
  </w:num>
  <w:num w:numId="12">
    <w:abstractNumId w:val="5"/>
  </w:num>
  <w:num w:numId="13">
    <w:abstractNumId w:val="18"/>
  </w:num>
  <w:num w:numId="14">
    <w:abstractNumId w:val="3"/>
  </w:num>
  <w:num w:numId="15">
    <w:abstractNumId w:val="10"/>
  </w:num>
  <w:num w:numId="16">
    <w:abstractNumId w:val="1"/>
  </w:num>
  <w:num w:numId="17">
    <w:abstractNumId w:val="0"/>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20EBF"/>
    <w:rsid w:val="00034AE9"/>
    <w:rsid w:val="000444C5"/>
    <w:rsid w:val="00050EF2"/>
    <w:rsid w:val="0006132B"/>
    <w:rsid w:val="00070AD6"/>
    <w:rsid w:val="00077CB0"/>
    <w:rsid w:val="000A3A3B"/>
    <w:rsid w:val="000C31DB"/>
    <w:rsid w:val="000E758D"/>
    <w:rsid w:val="000F0640"/>
    <w:rsid w:val="001121CD"/>
    <w:rsid w:val="001129D4"/>
    <w:rsid w:val="00121301"/>
    <w:rsid w:val="001410D9"/>
    <w:rsid w:val="001445FB"/>
    <w:rsid w:val="001448D5"/>
    <w:rsid w:val="00154A51"/>
    <w:rsid w:val="0016785A"/>
    <w:rsid w:val="0017273B"/>
    <w:rsid w:val="00194C84"/>
    <w:rsid w:val="001A25FC"/>
    <w:rsid w:val="001A2E65"/>
    <w:rsid w:val="001A5E91"/>
    <w:rsid w:val="0020459A"/>
    <w:rsid w:val="00211D99"/>
    <w:rsid w:val="00214A6C"/>
    <w:rsid w:val="002541C7"/>
    <w:rsid w:val="0026661A"/>
    <w:rsid w:val="00284C62"/>
    <w:rsid w:val="002855E3"/>
    <w:rsid w:val="00292F23"/>
    <w:rsid w:val="002A4CB7"/>
    <w:rsid w:val="002A5FBD"/>
    <w:rsid w:val="002B1637"/>
    <w:rsid w:val="002B351A"/>
    <w:rsid w:val="002C273C"/>
    <w:rsid w:val="002C4919"/>
    <w:rsid w:val="002E7299"/>
    <w:rsid w:val="002F72F9"/>
    <w:rsid w:val="003144E6"/>
    <w:rsid w:val="003153AB"/>
    <w:rsid w:val="00343E37"/>
    <w:rsid w:val="003777D8"/>
    <w:rsid w:val="0038200A"/>
    <w:rsid w:val="00385BCD"/>
    <w:rsid w:val="00386243"/>
    <w:rsid w:val="00392CF2"/>
    <w:rsid w:val="00394D3B"/>
    <w:rsid w:val="003A2AEA"/>
    <w:rsid w:val="003B3096"/>
    <w:rsid w:val="003B4E47"/>
    <w:rsid w:val="003C4885"/>
    <w:rsid w:val="003E7FE5"/>
    <w:rsid w:val="003F5429"/>
    <w:rsid w:val="004106AF"/>
    <w:rsid w:val="004229EB"/>
    <w:rsid w:val="00427623"/>
    <w:rsid w:val="004526A5"/>
    <w:rsid w:val="004A21A1"/>
    <w:rsid w:val="004B04B3"/>
    <w:rsid w:val="004D0653"/>
    <w:rsid w:val="004E29CA"/>
    <w:rsid w:val="004F599D"/>
    <w:rsid w:val="004F773B"/>
    <w:rsid w:val="00500EFE"/>
    <w:rsid w:val="005017F6"/>
    <w:rsid w:val="00516C03"/>
    <w:rsid w:val="00516F90"/>
    <w:rsid w:val="00536C5B"/>
    <w:rsid w:val="00541641"/>
    <w:rsid w:val="0055188C"/>
    <w:rsid w:val="00572C05"/>
    <w:rsid w:val="005A680C"/>
    <w:rsid w:val="005C100D"/>
    <w:rsid w:val="00600071"/>
    <w:rsid w:val="006011D9"/>
    <w:rsid w:val="00624E50"/>
    <w:rsid w:val="006419F8"/>
    <w:rsid w:val="00646B95"/>
    <w:rsid w:val="00656556"/>
    <w:rsid w:val="00670BA2"/>
    <w:rsid w:val="00675CA4"/>
    <w:rsid w:val="00690A1F"/>
    <w:rsid w:val="006B0026"/>
    <w:rsid w:val="00701B54"/>
    <w:rsid w:val="00723C0F"/>
    <w:rsid w:val="0073196B"/>
    <w:rsid w:val="00756311"/>
    <w:rsid w:val="00762D81"/>
    <w:rsid w:val="00775F8A"/>
    <w:rsid w:val="007801CA"/>
    <w:rsid w:val="007933C2"/>
    <w:rsid w:val="007B453D"/>
    <w:rsid w:val="007B68E3"/>
    <w:rsid w:val="007C0AC5"/>
    <w:rsid w:val="007C1459"/>
    <w:rsid w:val="007C761D"/>
    <w:rsid w:val="007E174A"/>
    <w:rsid w:val="007E197F"/>
    <w:rsid w:val="00801ED9"/>
    <w:rsid w:val="00804755"/>
    <w:rsid w:val="008158E4"/>
    <w:rsid w:val="00831490"/>
    <w:rsid w:val="00883286"/>
    <w:rsid w:val="008A0860"/>
    <w:rsid w:val="008A52CB"/>
    <w:rsid w:val="008D6FFA"/>
    <w:rsid w:val="008E08F7"/>
    <w:rsid w:val="008E5052"/>
    <w:rsid w:val="008F4F46"/>
    <w:rsid w:val="00913ACC"/>
    <w:rsid w:val="0091483E"/>
    <w:rsid w:val="009320AD"/>
    <w:rsid w:val="00932E8E"/>
    <w:rsid w:val="00970C8D"/>
    <w:rsid w:val="00977917"/>
    <w:rsid w:val="009859B7"/>
    <w:rsid w:val="009A4A8D"/>
    <w:rsid w:val="009A760A"/>
    <w:rsid w:val="009B4524"/>
    <w:rsid w:val="009B7AAC"/>
    <w:rsid w:val="009C2B9D"/>
    <w:rsid w:val="009D02D9"/>
    <w:rsid w:val="009D20AB"/>
    <w:rsid w:val="009F1EBA"/>
    <w:rsid w:val="00A03F0A"/>
    <w:rsid w:val="00A05584"/>
    <w:rsid w:val="00A2414B"/>
    <w:rsid w:val="00A36B0F"/>
    <w:rsid w:val="00A93A63"/>
    <w:rsid w:val="00A95FAE"/>
    <w:rsid w:val="00A9772D"/>
    <w:rsid w:val="00AD031B"/>
    <w:rsid w:val="00AF48F0"/>
    <w:rsid w:val="00AF4CE4"/>
    <w:rsid w:val="00B01764"/>
    <w:rsid w:val="00B1430E"/>
    <w:rsid w:val="00B22A4A"/>
    <w:rsid w:val="00B3204D"/>
    <w:rsid w:val="00B4348E"/>
    <w:rsid w:val="00B446DC"/>
    <w:rsid w:val="00B446F1"/>
    <w:rsid w:val="00B868C1"/>
    <w:rsid w:val="00BA57C4"/>
    <w:rsid w:val="00BA70E1"/>
    <w:rsid w:val="00BF43BA"/>
    <w:rsid w:val="00C011CE"/>
    <w:rsid w:val="00C052EE"/>
    <w:rsid w:val="00C06DD9"/>
    <w:rsid w:val="00C460E9"/>
    <w:rsid w:val="00C5244F"/>
    <w:rsid w:val="00C57EB4"/>
    <w:rsid w:val="00C7419D"/>
    <w:rsid w:val="00CD02FB"/>
    <w:rsid w:val="00CF4EDB"/>
    <w:rsid w:val="00D0686A"/>
    <w:rsid w:val="00D114AE"/>
    <w:rsid w:val="00D52C0D"/>
    <w:rsid w:val="00D62CF7"/>
    <w:rsid w:val="00D801CB"/>
    <w:rsid w:val="00D8388D"/>
    <w:rsid w:val="00D97559"/>
    <w:rsid w:val="00DA6D01"/>
    <w:rsid w:val="00DC0B3D"/>
    <w:rsid w:val="00DC71A7"/>
    <w:rsid w:val="00DE2CB6"/>
    <w:rsid w:val="00DE717C"/>
    <w:rsid w:val="00DE742A"/>
    <w:rsid w:val="00DF7126"/>
    <w:rsid w:val="00E14384"/>
    <w:rsid w:val="00E165F2"/>
    <w:rsid w:val="00E16EEA"/>
    <w:rsid w:val="00E3582D"/>
    <w:rsid w:val="00E443C4"/>
    <w:rsid w:val="00E871C0"/>
    <w:rsid w:val="00E87241"/>
    <w:rsid w:val="00E95E8A"/>
    <w:rsid w:val="00EB2590"/>
    <w:rsid w:val="00EB6062"/>
    <w:rsid w:val="00EF37B8"/>
    <w:rsid w:val="00F20B0A"/>
    <w:rsid w:val="00F27036"/>
    <w:rsid w:val="00F46F52"/>
    <w:rsid w:val="00F66CFB"/>
    <w:rsid w:val="00F8561D"/>
    <w:rsid w:val="00FA2A01"/>
    <w:rsid w:val="00FE0AE7"/>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828</TotalTime>
  <Pages>4</Pages>
  <Words>1338</Words>
  <Characters>7628</Characters>
  <Application>Microsoft Office Word</Application>
  <DocSecurity>0</DocSecurity>
  <Lines>63</Lines>
  <Paragraphs>17</Paragraphs>
  <ScaleCrop>false</ScaleCrop>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107</cp:revision>
  <dcterms:created xsi:type="dcterms:W3CDTF">2021-10-29T07:26:00Z</dcterms:created>
  <dcterms:modified xsi:type="dcterms:W3CDTF">2023-09-28T09:48:00Z</dcterms:modified>
</cp:coreProperties>
</file>